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B623" w14:textId="7C8D1367" w:rsidR="00CE5D0F" w:rsidRDefault="00CE5D0F" w:rsidP="00CE5D0F">
      <w:pPr>
        <w:pStyle w:val="ListParagraph"/>
        <w:ind w:left="-142"/>
        <w:jc w:val="both"/>
        <w:rPr>
          <w:b/>
          <w:bCs/>
          <w:sz w:val="24"/>
          <w:szCs w:val="24"/>
          <w:lang w:val="es-ES"/>
        </w:rPr>
      </w:pPr>
      <w:r w:rsidRPr="00CE26EA">
        <w:rPr>
          <w:b/>
          <w:bCs/>
          <w:sz w:val="24"/>
          <w:szCs w:val="24"/>
          <w:lang w:val="es-ES"/>
        </w:rPr>
        <w:t xml:space="preserve">Proyecto PNUD/AECID </w:t>
      </w:r>
      <w:r>
        <w:rPr>
          <w:b/>
          <w:bCs/>
          <w:sz w:val="24"/>
          <w:szCs w:val="24"/>
          <w:lang w:val="es-ES"/>
        </w:rPr>
        <w:t>Promesa Climática</w:t>
      </w:r>
    </w:p>
    <w:p w14:paraId="04491C1C" w14:textId="77777777" w:rsidR="00CE5D0F" w:rsidRPr="00CE26EA" w:rsidRDefault="00CE5D0F" w:rsidP="00CE5D0F">
      <w:pPr>
        <w:pStyle w:val="ListParagraph"/>
        <w:ind w:left="-142"/>
        <w:jc w:val="both"/>
        <w:rPr>
          <w:b/>
          <w:bCs/>
          <w:sz w:val="24"/>
          <w:szCs w:val="24"/>
          <w:lang w:val="es-ES"/>
        </w:rPr>
      </w:pPr>
    </w:p>
    <w:p w14:paraId="03C804EA" w14:textId="77777777" w:rsidR="00CE5D0F" w:rsidRDefault="00CE5D0F" w:rsidP="00CE5D0F">
      <w:pPr>
        <w:pStyle w:val="ListParagraph"/>
        <w:ind w:left="-142"/>
        <w:jc w:val="both"/>
        <w:rPr>
          <w:sz w:val="24"/>
          <w:szCs w:val="24"/>
          <w:lang w:val="es-ES"/>
        </w:rPr>
      </w:pPr>
      <w:r w:rsidRPr="00547AAD">
        <w:rPr>
          <w:b/>
          <w:bCs/>
          <w:sz w:val="24"/>
          <w:szCs w:val="24"/>
          <w:lang w:val="es-ES"/>
        </w:rPr>
        <w:t xml:space="preserve">Resumen de las principales actividades efectuadas entre </w:t>
      </w:r>
      <w:r>
        <w:rPr>
          <w:b/>
          <w:bCs/>
          <w:sz w:val="24"/>
          <w:szCs w:val="24"/>
          <w:lang w:val="es-ES"/>
        </w:rPr>
        <w:t>septiembre de 2024 y marzo</w:t>
      </w:r>
      <w:r w:rsidRPr="00547AAD">
        <w:rPr>
          <w:b/>
          <w:bCs/>
          <w:sz w:val="24"/>
          <w:szCs w:val="24"/>
          <w:lang w:val="es-ES"/>
        </w:rPr>
        <w:t xml:space="preserve"> de 202</w:t>
      </w:r>
      <w:r>
        <w:rPr>
          <w:b/>
          <w:bCs/>
          <w:sz w:val="24"/>
          <w:szCs w:val="24"/>
          <w:lang w:val="es-ES"/>
        </w:rPr>
        <w:t>5</w:t>
      </w:r>
      <w:r w:rsidRPr="00547AAD">
        <w:rPr>
          <w:b/>
          <w:bCs/>
          <w:sz w:val="24"/>
          <w:szCs w:val="24"/>
          <w:lang w:val="es-ES"/>
        </w:rPr>
        <w:t>.</w:t>
      </w:r>
    </w:p>
    <w:p w14:paraId="2B7134F7" w14:textId="77777777" w:rsidR="00CE5D0F" w:rsidRDefault="00CE5D0F" w:rsidP="00CE5D0F">
      <w:pPr>
        <w:pStyle w:val="ListParagraph"/>
        <w:ind w:left="-142"/>
        <w:jc w:val="both"/>
        <w:rPr>
          <w:sz w:val="24"/>
          <w:szCs w:val="24"/>
          <w:lang w:val="es-ES"/>
        </w:rPr>
      </w:pPr>
    </w:p>
    <w:p w14:paraId="3109A4CC" w14:textId="77777777" w:rsidR="00CE5D0F" w:rsidRPr="00CE1CD3" w:rsidRDefault="00CE5D0F" w:rsidP="00CE5D0F">
      <w:pPr>
        <w:pStyle w:val="ListParagraph"/>
        <w:numPr>
          <w:ilvl w:val="0"/>
          <w:numId w:val="1"/>
        </w:numPr>
        <w:jc w:val="both"/>
      </w:pPr>
      <w:r>
        <w:rPr>
          <w:sz w:val="24"/>
          <w:szCs w:val="24"/>
          <w:lang w:val="es-419"/>
        </w:rPr>
        <w:t xml:space="preserve">Formulación de la </w:t>
      </w:r>
      <w:r w:rsidRPr="00A661BC">
        <w:rPr>
          <w:b/>
          <w:bCs/>
          <w:sz w:val="24"/>
          <w:szCs w:val="24"/>
          <w:lang w:val="es-419"/>
        </w:rPr>
        <w:t>NDC 2030-2035</w:t>
      </w:r>
      <w:r>
        <w:rPr>
          <w:sz w:val="24"/>
          <w:szCs w:val="24"/>
          <w:lang w:val="es-419"/>
        </w:rPr>
        <w:t>. Se apoyaron los diálogos interinstitucionales para la definición de las contribuciones a ser incluidas en la NDC. En ellos se d</w:t>
      </w:r>
      <w:r w:rsidRPr="00CE1CD3">
        <w:rPr>
          <w:sz w:val="24"/>
          <w:szCs w:val="24"/>
          <w:lang w:val="es-419"/>
        </w:rPr>
        <w:t>efini</w:t>
      </w:r>
      <w:r>
        <w:rPr>
          <w:sz w:val="24"/>
          <w:szCs w:val="24"/>
          <w:lang w:val="es-419"/>
        </w:rPr>
        <w:t>eron</w:t>
      </w:r>
      <w:r w:rsidRPr="00CE1CD3">
        <w:rPr>
          <w:sz w:val="24"/>
          <w:szCs w:val="24"/>
          <w:lang w:val="es-419"/>
        </w:rPr>
        <w:t xml:space="preserve"> las acciones, metas e indicadores </w:t>
      </w:r>
      <w:r>
        <w:rPr>
          <w:sz w:val="24"/>
          <w:szCs w:val="24"/>
          <w:lang w:val="es-419"/>
        </w:rPr>
        <w:t xml:space="preserve">de las siguientes áreas: </w:t>
      </w:r>
    </w:p>
    <w:p w14:paraId="5A04015F" w14:textId="77777777" w:rsidR="00CE5D0F" w:rsidRDefault="00CE5D0F" w:rsidP="00CE5D0F">
      <w:pPr>
        <w:pStyle w:val="ListParagraph"/>
        <w:numPr>
          <w:ilvl w:val="1"/>
          <w:numId w:val="2"/>
        </w:numPr>
        <w:ind w:left="720"/>
        <w:jc w:val="both"/>
      </w:pPr>
      <w:r w:rsidRPr="00CE26EA">
        <w:t>Aumentar las fuentes de energía renovable en la matriz energética.</w:t>
      </w:r>
    </w:p>
    <w:p w14:paraId="66B57C7D" w14:textId="77777777" w:rsidR="00CE5D0F" w:rsidRDefault="00CE5D0F" w:rsidP="00CE5D0F">
      <w:pPr>
        <w:pStyle w:val="ListParagraph"/>
        <w:numPr>
          <w:ilvl w:val="1"/>
          <w:numId w:val="2"/>
        </w:numPr>
        <w:ind w:left="720"/>
        <w:jc w:val="both"/>
      </w:pPr>
      <w:r w:rsidRPr="00CE26EA">
        <w:t>Mejorar la eficiencia y el ahorro energético.</w:t>
      </w:r>
    </w:p>
    <w:p w14:paraId="5B75C597" w14:textId="77777777" w:rsidR="00CE5D0F" w:rsidRDefault="00CE5D0F" w:rsidP="00CE5D0F">
      <w:pPr>
        <w:pStyle w:val="ListParagraph"/>
        <w:numPr>
          <w:ilvl w:val="1"/>
          <w:numId w:val="2"/>
        </w:numPr>
        <w:ind w:left="720"/>
        <w:jc w:val="both"/>
      </w:pPr>
      <w:r w:rsidRPr="00CE26EA">
        <w:t>Promover el transporte menos intensivo en carbono.</w:t>
      </w:r>
    </w:p>
    <w:p w14:paraId="502A0733" w14:textId="77777777" w:rsidR="00CE5D0F" w:rsidRDefault="00CE5D0F" w:rsidP="00CE5D0F">
      <w:pPr>
        <w:pStyle w:val="ListParagraph"/>
        <w:numPr>
          <w:ilvl w:val="1"/>
          <w:numId w:val="2"/>
        </w:numPr>
        <w:ind w:left="720"/>
        <w:jc w:val="both"/>
      </w:pPr>
      <w:r w:rsidRPr="00CE26EA">
        <w:t>Ampliar la cobertura forestal del país.</w:t>
      </w:r>
    </w:p>
    <w:p w14:paraId="77630518" w14:textId="77777777" w:rsidR="00CE5D0F" w:rsidRDefault="00CE5D0F" w:rsidP="00CE5D0F">
      <w:pPr>
        <w:pStyle w:val="ListParagraph"/>
        <w:numPr>
          <w:ilvl w:val="1"/>
          <w:numId w:val="2"/>
        </w:numPr>
        <w:ind w:left="720"/>
        <w:jc w:val="both"/>
      </w:pPr>
      <w:r w:rsidRPr="00CE26EA">
        <w:t>Reducir las emisiones de gases de efecto invernadero en el sector ganadero en Cuba.</w:t>
      </w:r>
    </w:p>
    <w:p w14:paraId="2CC75431" w14:textId="77777777" w:rsidR="00CE5D0F" w:rsidRDefault="00CE5D0F" w:rsidP="00CE5D0F">
      <w:pPr>
        <w:pStyle w:val="ListParagraph"/>
        <w:numPr>
          <w:ilvl w:val="1"/>
          <w:numId w:val="2"/>
        </w:numPr>
        <w:ind w:left="720"/>
        <w:jc w:val="both"/>
      </w:pPr>
      <w:r w:rsidRPr="00CE26EA">
        <w:t>Implementar la circularidad en los procesos de la industria azucarera.</w:t>
      </w:r>
    </w:p>
    <w:p w14:paraId="75F5B9FC" w14:textId="77777777" w:rsidR="00CE5D0F" w:rsidRDefault="00CE5D0F" w:rsidP="00CE5D0F">
      <w:pPr>
        <w:jc w:val="both"/>
      </w:pPr>
      <w:r>
        <w:t xml:space="preserve">La NDC fue aprobada por el Consejo de </w:t>
      </w:r>
      <w:proofErr w:type="gramStart"/>
      <w:r>
        <w:t>Ministro</w:t>
      </w:r>
      <w:proofErr w:type="gramEnd"/>
      <w:r>
        <w:t xml:space="preserve"> a finales del mes de febrero y presentada a la Convención Marco de las Naciones Unidas para el Cambio Climático (UNFCCC, por sus siglas en inglés) el 27 de febrero de 2025.</w:t>
      </w:r>
    </w:p>
    <w:p w14:paraId="375CB06A" w14:textId="5C031D01" w:rsidR="00CE5D0F" w:rsidRDefault="00CE5D0F" w:rsidP="00CE5D0F">
      <w:pPr>
        <w:pStyle w:val="ListParagraph"/>
        <w:numPr>
          <w:ilvl w:val="0"/>
          <w:numId w:val="1"/>
        </w:numPr>
      </w:pPr>
      <w:r w:rsidRPr="005D67A8">
        <w:rPr>
          <w:b/>
          <w:bCs/>
        </w:rPr>
        <w:t>Inserción de Cuba en los Mercados de Carbono</w:t>
      </w:r>
      <w:r w:rsidRPr="005D67A8">
        <w:t xml:space="preserve">. En la recién publicada NDC, Cuba declara por primera vez, su interés en utilizar los instrumentos cooperativos que establece el Artículo 6 del Acuerdo de París, relacionadas principalmente con la implementación del programa de transición energética y el desarrollo forestal del país. En el marco de este cambio en materia de política ambiental y climática, </w:t>
      </w:r>
      <w:proofErr w:type="spellStart"/>
      <w:r w:rsidRPr="005D67A8">
        <w:t>Climate</w:t>
      </w:r>
      <w:proofErr w:type="spellEnd"/>
      <w:r w:rsidRPr="005D67A8">
        <w:t xml:space="preserve"> </w:t>
      </w:r>
      <w:proofErr w:type="spellStart"/>
      <w:r w:rsidRPr="005D67A8">
        <w:t>Promise</w:t>
      </w:r>
      <w:proofErr w:type="spellEnd"/>
      <w:r w:rsidRPr="005D67A8">
        <w:t>, a solicitud del CITMA, está apoyando la elaboración de un marco de políticas habilitador para el desarrollo de los mercados de carbono en Cuba. Se está identificando una consultoría internacional que permitirá realizar recomendaciones a la propuesta de marco regulatorio e institucional que está desarrollando el gobierno. Dentro de la consultoría se trabajará en identificar las potencialidades de participación en los mercados de carbono que tienen las medidas de mitigación refrendadas en la NDC. Adicionalmente se ha apoyado la participación de expertos cubanos en espacios internacionales de capacitación sobre la implementación del Artículo 6 del Acuerdo de Paris y su operacionalización.</w:t>
      </w:r>
    </w:p>
    <w:p w14:paraId="0E79B598" w14:textId="77777777" w:rsidR="00CE5D0F" w:rsidRPr="00A36F97" w:rsidRDefault="00CE5D0F" w:rsidP="00CE5D0F">
      <w:pPr>
        <w:pStyle w:val="ListParagraph"/>
        <w:ind w:left="218"/>
      </w:pPr>
    </w:p>
    <w:p w14:paraId="6EECDEBF" w14:textId="77777777" w:rsidR="00CE5D0F" w:rsidRPr="005D67A8" w:rsidRDefault="00CE5D0F" w:rsidP="00CE5D0F">
      <w:pPr>
        <w:pStyle w:val="ListParagraph"/>
        <w:numPr>
          <w:ilvl w:val="0"/>
          <w:numId w:val="1"/>
        </w:numPr>
        <w:jc w:val="both"/>
        <w:rPr>
          <w:sz w:val="24"/>
          <w:szCs w:val="24"/>
          <w:lang w:val="es-419"/>
        </w:rPr>
      </w:pPr>
      <w:r w:rsidRPr="005D67A8">
        <w:rPr>
          <w:sz w:val="24"/>
          <w:szCs w:val="24"/>
          <w:lang w:val="es-419"/>
        </w:rPr>
        <w:t xml:space="preserve">Apoyo al diseño de la </w:t>
      </w:r>
      <w:r w:rsidRPr="005D67A8">
        <w:rPr>
          <w:b/>
          <w:bCs/>
          <w:sz w:val="24"/>
          <w:szCs w:val="24"/>
          <w:lang w:val="es-419"/>
        </w:rPr>
        <w:t>Arquitectura Financiera</w:t>
      </w:r>
      <w:r w:rsidRPr="005D67A8">
        <w:rPr>
          <w:sz w:val="24"/>
          <w:szCs w:val="24"/>
          <w:lang w:val="es-419"/>
        </w:rPr>
        <w:t xml:space="preserve"> </w:t>
      </w:r>
      <w:r w:rsidRPr="005D67A8">
        <w:rPr>
          <w:b/>
          <w:bCs/>
          <w:sz w:val="24"/>
          <w:szCs w:val="24"/>
          <w:lang w:val="es-419"/>
        </w:rPr>
        <w:t>para la Transición Energética (TE)</w:t>
      </w:r>
      <w:r w:rsidRPr="005D67A8">
        <w:rPr>
          <w:sz w:val="24"/>
          <w:szCs w:val="24"/>
          <w:lang w:val="es-419"/>
        </w:rPr>
        <w:t xml:space="preserve">, en apoyo a la implementación de la de la </w:t>
      </w:r>
      <w:r w:rsidRPr="005D67A8">
        <w:rPr>
          <w:i/>
          <w:iCs/>
          <w:sz w:val="24"/>
          <w:szCs w:val="24"/>
          <w:lang w:val="es-419"/>
        </w:rPr>
        <w:t>Estrategia Nacional para la Transición Energética en Cuba</w:t>
      </w:r>
      <w:r w:rsidRPr="005D67A8">
        <w:rPr>
          <w:sz w:val="24"/>
          <w:szCs w:val="24"/>
          <w:lang w:val="es-419"/>
        </w:rPr>
        <w:t xml:space="preserve">. </w:t>
      </w:r>
    </w:p>
    <w:p w14:paraId="102A3C4D" w14:textId="77777777" w:rsidR="00CE5D0F" w:rsidRPr="005D67A8" w:rsidRDefault="00CE5D0F" w:rsidP="00CE5D0F">
      <w:pPr>
        <w:pStyle w:val="ListParagraph"/>
        <w:ind w:left="218"/>
        <w:jc w:val="both"/>
        <w:rPr>
          <w:sz w:val="24"/>
          <w:szCs w:val="24"/>
          <w:lang w:val="es-419"/>
        </w:rPr>
      </w:pPr>
      <w:r w:rsidRPr="005D67A8">
        <w:rPr>
          <w:sz w:val="24"/>
          <w:szCs w:val="24"/>
          <w:lang w:val="es-419"/>
        </w:rPr>
        <w:t>De conjunto con el MINEM, y con asesoría de PNUD, se ha elaborado una nota conceptual definiendo el esquema de Arquitectura Financiera para la Transición Energética.  Como parte de la Arquitectura se recomienda la creación de un Laboratorio de Innovación Financiera (</w:t>
      </w:r>
      <w:proofErr w:type="spellStart"/>
      <w:r w:rsidRPr="005D67A8">
        <w:rPr>
          <w:sz w:val="24"/>
          <w:szCs w:val="24"/>
          <w:lang w:val="es-419"/>
        </w:rPr>
        <w:t>Lab</w:t>
      </w:r>
      <w:proofErr w:type="spellEnd"/>
      <w:r w:rsidRPr="005D67A8">
        <w:rPr>
          <w:sz w:val="24"/>
          <w:szCs w:val="24"/>
          <w:lang w:val="es-419"/>
        </w:rPr>
        <w:t xml:space="preserve">), liderado por el Ministerio de Energía y Minas, como espacio de </w:t>
      </w:r>
      <w:proofErr w:type="spellStart"/>
      <w:r w:rsidRPr="005D67A8">
        <w:rPr>
          <w:sz w:val="24"/>
          <w:szCs w:val="24"/>
          <w:lang w:val="es-419"/>
        </w:rPr>
        <w:t>co-creación</w:t>
      </w:r>
      <w:proofErr w:type="spellEnd"/>
      <w:r w:rsidRPr="005D67A8">
        <w:rPr>
          <w:sz w:val="24"/>
          <w:szCs w:val="24"/>
          <w:lang w:val="es-419"/>
        </w:rPr>
        <w:t xml:space="preserve"> para proponer a los tomadores de decisión, pilotos de mecanismos financieros innovadores para impulsar la transición energética. Participan en las sesiones del </w:t>
      </w:r>
      <w:r w:rsidRPr="005D67A8">
        <w:rPr>
          <w:sz w:val="24"/>
          <w:szCs w:val="24"/>
          <w:lang w:val="es-419"/>
        </w:rPr>
        <w:lastRenderedPageBreak/>
        <w:t xml:space="preserve">laboratorio organismos nacionales responsables de temas económicos, financieros, inversión extranjera, cambio climático, etc. </w:t>
      </w:r>
    </w:p>
    <w:p w14:paraId="3F5813A4" w14:textId="77777777" w:rsidR="00CE5D0F" w:rsidRPr="005D67A8" w:rsidRDefault="00CE5D0F" w:rsidP="00CE5D0F">
      <w:pPr>
        <w:pStyle w:val="ListParagraph"/>
        <w:ind w:left="218"/>
        <w:jc w:val="both"/>
        <w:rPr>
          <w:sz w:val="24"/>
          <w:szCs w:val="24"/>
          <w:lang w:val="es-419"/>
        </w:rPr>
      </w:pPr>
      <w:r w:rsidRPr="005D67A8">
        <w:rPr>
          <w:sz w:val="24"/>
          <w:szCs w:val="24"/>
          <w:lang w:val="es-419"/>
        </w:rPr>
        <w:t xml:space="preserve">Desde </w:t>
      </w:r>
      <w:proofErr w:type="spellStart"/>
      <w:r w:rsidRPr="005D67A8">
        <w:rPr>
          <w:sz w:val="24"/>
          <w:szCs w:val="24"/>
          <w:lang w:val="es-419"/>
        </w:rPr>
        <w:t>Climate</w:t>
      </w:r>
      <w:proofErr w:type="spellEnd"/>
      <w:r w:rsidRPr="005D67A8">
        <w:rPr>
          <w:sz w:val="24"/>
          <w:szCs w:val="24"/>
          <w:lang w:val="es-419"/>
        </w:rPr>
        <w:t xml:space="preserve"> </w:t>
      </w:r>
      <w:proofErr w:type="spellStart"/>
      <w:r w:rsidRPr="005D67A8">
        <w:rPr>
          <w:sz w:val="24"/>
          <w:szCs w:val="24"/>
          <w:lang w:val="es-419"/>
        </w:rPr>
        <w:t>Promise</w:t>
      </w:r>
      <w:proofErr w:type="spellEnd"/>
      <w:r w:rsidRPr="005D67A8">
        <w:rPr>
          <w:sz w:val="24"/>
          <w:szCs w:val="24"/>
          <w:lang w:val="es-419"/>
        </w:rPr>
        <w:t xml:space="preserve"> se han apoyado algunas sesiones del </w:t>
      </w:r>
      <w:proofErr w:type="spellStart"/>
      <w:r w:rsidRPr="005D67A8">
        <w:rPr>
          <w:sz w:val="24"/>
          <w:szCs w:val="24"/>
          <w:lang w:val="es-419"/>
        </w:rPr>
        <w:t>Lab</w:t>
      </w:r>
      <w:proofErr w:type="spellEnd"/>
      <w:r w:rsidRPr="005D67A8">
        <w:rPr>
          <w:sz w:val="24"/>
          <w:szCs w:val="24"/>
          <w:lang w:val="es-419"/>
        </w:rPr>
        <w:t>, en las que se discuten diferentes enfoques de mecanismos financieros para la transición energética. En el mismo se está proponiendo valorar avanzar con un mecanismo de financiamiento combinado (</w:t>
      </w:r>
      <w:proofErr w:type="spellStart"/>
      <w:r w:rsidRPr="005D67A8">
        <w:rPr>
          <w:sz w:val="24"/>
          <w:szCs w:val="24"/>
          <w:lang w:val="es-419"/>
        </w:rPr>
        <w:t>blended</w:t>
      </w:r>
      <w:proofErr w:type="spellEnd"/>
      <w:r w:rsidRPr="005D67A8">
        <w:rPr>
          <w:sz w:val="24"/>
          <w:szCs w:val="24"/>
          <w:lang w:val="es-419"/>
        </w:rPr>
        <w:t xml:space="preserve"> </w:t>
      </w:r>
      <w:proofErr w:type="spellStart"/>
      <w:r w:rsidRPr="005D67A8">
        <w:rPr>
          <w:sz w:val="24"/>
          <w:szCs w:val="24"/>
          <w:lang w:val="es-419"/>
        </w:rPr>
        <w:t>finance</w:t>
      </w:r>
      <w:proofErr w:type="spellEnd"/>
      <w:r w:rsidRPr="005D67A8">
        <w:rPr>
          <w:sz w:val="24"/>
          <w:szCs w:val="24"/>
          <w:lang w:val="es-419"/>
        </w:rPr>
        <w:t>), compuesto por financiamiento nacional, de Instituciones Financieras Internacionales, sector privado, mercados de carbono y organismos internacionales, entre otras fuentes. El objetivo de este esquema financiero es promover la introducción de tecnologías baja en carbono en sectores como energía, turismo, residencial, industria, así como en sectores con capacidad de exportación, entre otros.</w:t>
      </w:r>
    </w:p>
    <w:p w14:paraId="30F640DD" w14:textId="77777777" w:rsidR="00CE5D0F" w:rsidRPr="005D67A8" w:rsidRDefault="00CE5D0F" w:rsidP="00CE5D0F">
      <w:pPr>
        <w:pStyle w:val="ListParagraph"/>
        <w:ind w:left="218"/>
        <w:jc w:val="both"/>
      </w:pPr>
    </w:p>
    <w:p w14:paraId="489ADE6C" w14:textId="77777777" w:rsidR="00CE5D0F" w:rsidRPr="00A36F97" w:rsidRDefault="00CE5D0F" w:rsidP="00CE5D0F">
      <w:pPr>
        <w:pStyle w:val="ListParagraph"/>
        <w:numPr>
          <w:ilvl w:val="0"/>
          <w:numId w:val="1"/>
        </w:numPr>
      </w:pPr>
      <w:r>
        <w:t>Se apoyó la realización de un taller nacional de conciliación de actores nacionales para la elaboración del Plan Nacional de Adaptación, en sinergia con el proyecto nacional “E</w:t>
      </w:r>
      <w:r w:rsidRPr="001C5F00">
        <w:t>laboración de un Plan de Adaptación Nacional en Cuba</w:t>
      </w:r>
      <w:r>
        <w:t>”</w:t>
      </w:r>
      <w:r w:rsidRPr="001C5F00">
        <w:t>. En correspondencia con la actualización de las Proyecciones y el Plan de Acción de Tarea Vida 2026-2030.</w:t>
      </w:r>
    </w:p>
    <w:p w14:paraId="7853B4C4" w14:textId="77777777" w:rsidR="00CE5D0F" w:rsidRDefault="00CE5D0F" w:rsidP="00CE5D0F">
      <w:pPr>
        <w:pStyle w:val="ListParagraph"/>
        <w:numPr>
          <w:ilvl w:val="0"/>
          <w:numId w:val="1"/>
        </w:numPr>
      </w:pPr>
      <w:r>
        <w:t>Actualmente se trabaja en la identificación de consultores nacionales para para:</w:t>
      </w:r>
    </w:p>
    <w:p w14:paraId="3E4AB3BF" w14:textId="77777777" w:rsidR="00CE5D0F" w:rsidRDefault="00CE5D0F" w:rsidP="00CE5D0F">
      <w:pPr>
        <w:pStyle w:val="ListParagraph"/>
        <w:numPr>
          <w:ilvl w:val="1"/>
          <w:numId w:val="3"/>
        </w:numPr>
        <w:ind w:left="720"/>
      </w:pPr>
      <w:r>
        <w:t xml:space="preserve">desarrollar los lineamientos para le elaboración del Plan Nacional de Adaptación al Cambio Climático y el </w:t>
      </w:r>
    </w:p>
    <w:p w14:paraId="52DE79A2" w14:textId="77777777" w:rsidR="00CE5D0F" w:rsidRDefault="00CE5D0F" w:rsidP="00CE5D0F">
      <w:pPr>
        <w:pStyle w:val="ListParagraph"/>
        <w:numPr>
          <w:ilvl w:val="1"/>
          <w:numId w:val="3"/>
        </w:numPr>
        <w:ind w:left="720"/>
      </w:pPr>
      <w:r>
        <w:t>desarrollar los lineamientos para le elaboración del Plan Nacional de Mitigación.</w:t>
      </w:r>
    </w:p>
    <w:p w14:paraId="3BED0E20" w14:textId="77777777" w:rsidR="00CE5D0F" w:rsidRDefault="00CE5D0F" w:rsidP="00CE5D0F">
      <w:pPr>
        <w:pStyle w:val="ListParagraph"/>
        <w:numPr>
          <w:ilvl w:val="1"/>
          <w:numId w:val="3"/>
        </w:numPr>
        <w:ind w:left="720"/>
      </w:pPr>
      <w:r>
        <w:t>elaborar un reporte sobre el involucramiento de la mujer en la implementación de la NDC.</w:t>
      </w:r>
    </w:p>
    <w:p w14:paraId="46524DAA" w14:textId="77777777" w:rsidR="00D344FA" w:rsidRDefault="00D344FA"/>
    <w:sectPr w:rsidR="00D344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F2CA4"/>
    <w:multiLevelType w:val="hybridMultilevel"/>
    <w:tmpl w:val="957A12DC"/>
    <w:lvl w:ilvl="0" w:tplc="FFFFFFFF">
      <w:numFmt w:val="bullet"/>
      <w:lvlText w:val="-"/>
      <w:lvlJc w:val="left"/>
      <w:pPr>
        <w:ind w:left="218" w:hanging="360"/>
      </w:pPr>
      <w:rPr>
        <w:rFonts w:ascii="Times New Roman" w:eastAsia="Times New Roman" w:hAnsi="Times New Roman" w:cs="Times New Roman" w:hint="default"/>
        <w:b w:val="0"/>
      </w:rPr>
    </w:lvl>
    <w:lvl w:ilvl="1" w:tplc="10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 w15:restartNumberingAfterBreak="0">
    <w:nsid w:val="36B323C8"/>
    <w:multiLevelType w:val="hybridMultilevel"/>
    <w:tmpl w:val="1D0248E4"/>
    <w:lvl w:ilvl="0" w:tplc="3C724DEE">
      <w:numFmt w:val="bullet"/>
      <w:lvlText w:val="-"/>
      <w:lvlJc w:val="left"/>
      <w:pPr>
        <w:ind w:left="218" w:hanging="360"/>
      </w:pPr>
      <w:rPr>
        <w:rFonts w:ascii="Times New Roman" w:eastAsia="Times New Roman" w:hAnsi="Times New Roman" w:cs="Times New Roman" w:hint="default"/>
        <w:b w:val="0"/>
      </w:rPr>
    </w:lvl>
    <w:lvl w:ilvl="1" w:tplc="10090019">
      <w:start w:val="1"/>
      <w:numFmt w:val="lowerLetter"/>
      <w:lvlText w:val="%2."/>
      <w:lvlJc w:val="left"/>
      <w:pPr>
        <w:ind w:left="938" w:hanging="360"/>
      </w:pPr>
    </w:lvl>
    <w:lvl w:ilvl="2" w:tplc="1009001B">
      <w:start w:val="1"/>
      <w:numFmt w:val="lowerRoman"/>
      <w:lvlText w:val="%3."/>
      <w:lvlJc w:val="right"/>
      <w:pPr>
        <w:ind w:left="1658" w:hanging="180"/>
      </w:pPr>
    </w:lvl>
    <w:lvl w:ilvl="3" w:tplc="1009000F" w:tentative="1">
      <w:start w:val="1"/>
      <w:numFmt w:val="decimal"/>
      <w:lvlText w:val="%4."/>
      <w:lvlJc w:val="left"/>
      <w:pPr>
        <w:ind w:left="2378" w:hanging="360"/>
      </w:pPr>
    </w:lvl>
    <w:lvl w:ilvl="4" w:tplc="10090019" w:tentative="1">
      <w:start w:val="1"/>
      <w:numFmt w:val="lowerLetter"/>
      <w:lvlText w:val="%5."/>
      <w:lvlJc w:val="left"/>
      <w:pPr>
        <w:ind w:left="3098" w:hanging="360"/>
      </w:pPr>
    </w:lvl>
    <w:lvl w:ilvl="5" w:tplc="1009001B" w:tentative="1">
      <w:start w:val="1"/>
      <w:numFmt w:val="lowerRoman"/>
      <w:lvlText w:val="%6."/>
      <w:lvlJc w:val="right"/>
      <w:pPr>
        <w:ind w:left="3818" w:hanging="180"/>
      </w:pPr>
    </w:lvl>
    <w:lvl w:ilvl="6" w:tplc="1009000F" w:tentative="1">
      <w:start w:val="1"/>
      <w:numFmt w:val="decimal"/>
      <w:lvlText w:val="%7."/>
      <w:lvlJc w:val="left"/>
      <w:pPr>
        <w:ind w:left="4538" w:hanging="360"/>
      </w:pPr>
    </w:lvl>
    <w:lvl w:ilvl="7" w:tplc="10090019" w:tentative="1">
      <w:start w:val="1"/>
      <w:numFmt w:val="lowerLetter"/>
      <w:lvlText w:val="%8."/>
      <w:lvlJc w:val="left"/>
      <w:pPr>
        <w:ind w:left="5258" w:hanging="360"/>
      </w:pPr>
    </w:lvl>
    <w:lvl w:ilvl="8" w:tplc="1009001B" w:tentative="1">
      <w:start w:val="1"/>
      <w:numFmt w:val="lowerRoman"/>
      <w:lvlText w:val="%9."/>
      <w:lvlJc w:val="right"/>
      <w:pPr>
        <w:ind w:left="5978" w:hanging="180"/>
      </w:pPr>
    </w:lvl>
  </w:abstractNum>
  <w:abstractNum w:abstractNumId="2" w15:restartNumberingAfterBreak="0">
    <w:nsid w:val="74802A31"/>
    <w:multiLevelType w:val="hybridMultilevel"/>
    <w:tmpl w:val="24AE9E88"/>
    <w:lvl w:ilvl="0" w:tplc="FFFFFFFF">
      <w:numFmt w:val="bullet"/>
      <w:lvlText w:val="-"/>
      <w:lvlJc w:val="left"/>
      <w:pPr>
        <w:ind w:left="218" w:hanging="360"/>
      </w:pPr>
      <w:rPr>
        <w:rFonts w:ascii="Times New Roman" w:eastAsia="Times New Roman" w:hAnsi="Times New Roman" w:cs="Times New Roman" w:hint="default"/>
        <w:b w:val="0"/>
      </w:rPr>
    </w:lvl>
    <w:lvl w:ilvl="1" w:tplc="10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num w:numId="1" w16cid:durableId="290795203">
    <w:abstractNumId w:val="1"/>
  </w:num>
  <w:num w:numId="2" w16cid:durableId="1501695070">
    <w:abstractNumId w:val="2"/>
  </w:num>
  <w:num w:numId="3" w16cid:durableId="136983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0F"/>
    <w:rsid w:val="00154F3E"/>
    <w:rsid w:val="001D1847"/>
    <w:rsid w:val="00425DC5"/>
    <w:rsid w:val="007A55E8"/>
    <w:rsid w:val="00BB4C49"/>
    <w:rsid w:val="00CE5D0F"/>
    <w:rsid w:val="00D344FA"/>
    <w:rsid w:val="00EE33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2851"/>
  <w15:chartTrackingRefBased/>
  <w15:docId w15:val="{8C0D933F-AF6D-4482-BF8F-CC89B31A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0F"/>
    <w:rPr>
      <w:rFonts w:eastAsiaTheme="minorEastAsia"/>
      <w:kern w:val="0"/>
      <w:lang w:val="es-CU" w:eastAsia="es-CU"/>
    </w:rPr>
  </w:style>
  <w:style w:type="paragraph" w:styleId="Heading1">
    <w:name w:val="heading 1"/>
    <w:basedOn w:val="Normal"/>
    <w:next w:val="Normal"/>
    <w:link w:val="Heading1Char"/>
    <w:uiPriority w:val="9"/>
    <w:qFormat/>
    <w:rsid w:val="00CE5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D0F"/>
    <w:rPr>
      <w:rFonts w:eastAsiaTheme="majorEastAsia" w:cstheme="majorBidi"/>
      <w:color w:val="272727" w:themeColor="text1" w:themeTint="D8"/>
    </w:rPr>
  </w:style>
  <w:style w:type="paragraph" w:styleId="Title">
    <w:name w:val="Title"/>
    <w:basedOn w:val="Normal"/>
    <w:next w:val="Normal"/>
    <w:link w:val="TitleChar"/>
    <w:uiPriority w:val="10"/>
    <w:qFormat/>
    <w:rsid w:val="00CE5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D0F"/>
    <w:pPr>
      <w:spacing w:before="160"/>
      <w:jc w:val="center"/>
    </w:pPr>
    <w:rPr>
      <w:i/>
      <w:iCs/>
      <w:color w:val="404040" w:themeColor="text1" w:themeTint="BF"/>
    </w:rPr>
  </w:style>
  <w:style w:type="character" w:customStyle="1" w:styleId="QuoteChar">
    <w:name w:val="Quote Char"/>
    <w:basedOn w:val="DefaultParagraphFont"/>
    <w:link w:val="Quote"/>
    <w:uiPriority w:val="29"/>
    <w:rsid w:val="00CE5D0F"/>
    <w:rPr>
      <w:i/>
      <w:iCs/>
      <w:color w:val="404040" w:themeColor="text1" w:themeTint="BF"/>
    </w:rPr>
  </w:style>
  <w:style w:type="paragraph" w:styleId="ListParagraph">
    <w:name w:val="List Paragraph"/>
    <w:aliases w:val="Numbered Paragraph,Main numbered paragraph,Bullets,List Paragraph (numbered (a)),Lapis Bulleted List,Dot pt,F5 List Paragraph,List Paragraph Char Char Char,Indicator Text,Numbered Para 1,Bullet 1,List Paragraph12,Bullet Points,Heading,L"/>
    <w:basedOn w:val="Normal"/>
    <w:link w:val="ListParagraphChar"/>
    <w:uiPriority w:val="34"/>
    <w:qFormat/>
    <w:rsid w:val="00CE5D0F"/>
    <w:pPr>
      <w:ind w:left="720"/>
      <w:contextualSpacing/>
    </w:pPr>
  </w:style>
  <w:style w:type="character" w:styleId="IntenseEmphasis">
    <w:name w:val="Intense Emphasis"/>
    <w:basedOn w:val="DefaultParagraphFont"/>
    <w:uiPriority w:val="21"/>
    <w:qFormat/>
    <w:rsid w:val="00CE5D0F"/>
    <w:rPr>
      <w:i/>
      <w:iCs/>
      <w:color w:val="0F4761" w:themeColor="accent1" w:themeShade="BF"/>
    </w:rPr>
  </w:style>
  <w:style w:type="paragraph" w:styleId="IntenseQuote">
    <w:name w:val="Intense Quote"/>
    <w:basedOn w:val="Normal"/>
    <w:next w:val="Normal"/>
    <w:link w:val="IntenseQuoteChar"/>
    <w:uiPriority w:val="30"/>
    <w:qFormat/>
    <w:rsid w:val="00CE5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D0F"/>
    <w:rPr>
      <w:i/>
      <w:iCs/>
      <w:color w:val="0F4761" w:themeColor="accent1" w:themeShade="BF"/>
    </w:rPr>
  </w:style>
  <w:style w:type="character" w:styleId="IntenseReference">
    <w:name w:val="Intense Reference"/>
    <w:basedOn w:val="DefaultParagraphFont"/>
    <w:uiPriority w:val="32"/>
    <w:qFormat/>
    <w:rsid w:val="00CE5D0F"/>
    <w:rPr>
      <w:b/>
      <w:bCs/>
      <w:smallCaps/>
      <w:color w:val="0F4761" w:themeColor="accent1" w:themeShade="BF"/>
      <w:spacing w:val="5"/>
    </w:rPr>
  </w:style>
  <w:style w:type="character" w:customStyle="1" w:styleId="ListParagraphChar">
    <w:name w:val="List Paragraph Char"/>
    <w:aliases w:val="Numbered Paragraph Char,Main numbered paragraph Char,Bullets Char,List Paragraph (numbered (a)) Char,Lapis Bulleted List Char,Dot pt Char,F5 List Paragraph Char,List Paragraph Char Char Char Char,Indicator Text Char,Bullet 1 Char"/>
    <w:link w:val="ListParagraph"/>
    <w:uiPriority w:val="34"/>
    <w:qFormat/>
    <w:locked/>
    <w:rsid w:val="00CE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B0496 - Cuba - Havana</OfficeCountry>
    <DocumentStatus xmlns="d9cf0e28-81d2-4dc7-8b10-820d80ed680d">Final</DocumentStatus>
    <DocCoverageEndDate xmlns="d9cf0e28-81d2-4dc7-8b10-820d80ed680d">2025-03-31T04:00:00+00:00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01002836</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2024-09-02T04:00:00+00:00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1510625-EB9A-4F58-A7FA-16C289D0A704}"/>
</file>

<file path=customXml/itemProps2.xml><?xml version="1.0" encoding="utf-8"?>
<ds:datastoreItem xmlns:ds="http://schemas.openxmlformats.org/officeDocument/2006/customXml" ds:itemID="{23F3C967-2541-4315-A06D-0BA7CEAA7F7F}"/>
</file>

<file path=customXml/itemProps3.xml><?xml version="1.0" encoding="utf-8"?>
<ds:datastoreItem xmlns:ds="http://schemas.openxmlformats.org/officeDocument/2006/customXml" ds:itemID="{80C068D5-DAEE-44C4-AC4A-45CE7E4E35CA}"/>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Navarro Padron</dc:creator>
  <cp:keywords/>
  <dc:description/>
  <cp:lastModifiedBy>Lourdes Coya De La Fuente</cp:lastModifiedBy>
  <cp:revision>2</cp:revision>
  <dcterms:created xsi:type="dcterms:W3CDTF">2025-08-21T17:39:00Z</dcterms:created>
  <dcterms:modified xsi:type="dcterms:W3CDTF">2025-08-21T17:39:00Z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